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B4F55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textAlignment w:val="auto"/>
        <w:outlineLvl w:val="9"/>
        <w:rPr>
          <w:rFonts w:hint="default" w:ascii="Times New Roman" w:hAnsi="Times New Roman" w:eastAsia="方正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" w:cs="Times New Roman"/>
          <w:sz w:val="32"/>
          <w:szCs w:val="32"/>
          <w:highlight w:val="none"/>
          <w:lang w:val="en-US" w:eastAsia="zh-CN"/>
        </w:rPr>
        <w:t>附件1</w:t>
      </w:r>
    </w:p>
    <w:p w14:paraId="6EA21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outlineLvl w:val="9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17FB1D0A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创新型中小企业评价</w:t>
      </w:r>
      <w:r>
        <w:rPr>
          <w:rFonts w:hint="eastAsia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（复核）</w:t>
      </w:r>
      <w:r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推荐汇总表</w:t>
      </w:r>
    </w:p>
    <w:p w14:paraId="1A8C09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</w:pPr>
    </w:p>
    <w:tbl>
      <w:tblPr>
        <w:tblStyle w:val="6"/>
        <w:tblW w:w="100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1"/>
        <w:gridCol w:w="1417"/>
        <w:gridCol w:w="1383"/>
        <w:gridCol w:w="2163"/>
        <w:gridCol w:w="3894"/>
      </w:tblGrid>
      <w:tr w14:paraId="75B19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  <w:jc w:val="center"/>
        </w:trPr>
        <w:tc>
          <w:tcPr>
            <w:tcW w:w="3481" w:type="dxa"/>
            <w:gridSpan w:val="3"/>
            <w:noWrap w:val="0"/>
            <w:vAlign w:val="center"/>
          </w:tcPr>
          <w:p w14:paraId="21D2B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Times New Roman" w:hAnsi="Times New Roman" w:cs="Times New Roman"/>
                <w:lang w:val="en-US" w:eastAsia="zh-CN" w:bidi="ar"/>
              </w:rPr>
              <w:t>县区园区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工信</w:t>
            </w:r>
            <w:r>
              <w:rPr>
                <w:rStyle w:val="8"/>
                <w:rFonts w:hint="eastAsia" w:ascii="Times New Roman" w:hAnsi="Times New Roman" w:cs="Times New Roman"/>
                <w:lang w:val="en-US" w:eastAsia="zh-CN" w:bidi="ar"/>
              </w:rPr>
              <w:t>部门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（盖章）：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     </w:t>
            </w:r>
          </w:p>
        </w:tc>
        <w:tc>
          <w:tcPr>
            <w:tcW w:w="2163" w:type="dxa"/>
            <w:noWrap w:val="0"/>
            <w:vAlign w:val="center"/>
          </w:tcPr>
          <w:p w14:paraId="5665F2E3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4" w:type="dxa"/>
            <w:noWrap w:val="0"/>
            <w:vAlign w:val="center"/>
          </w:tcPr>
          <w:p w14:paraId="5A344FB7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909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  <w:jc w:val="center"/>
        </w:trPr>
        <w:tc>
          <w:tcPr>
            <w:tcW w:w="95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20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32"/>
                <w:szCs w:val="32"/>
                <w:lang w:val="en-US" w:eastAsia="zh-CN"/>
              </w:rPr>
              <w:t>创新型中小企业评价</w:t>
            </w:r>
            <w:r>
              <w:rPr>
                <w:rFonts w:hint="eastAsia" w:ascii="Times New Roman" w:hAnsi="Times New Roman" w:eastAsia="方正小标宋简体" w:cs="Times New Roman"/>
                <w:kern w:val="0"/>
                <w:sz w:val="32"/>
                <w:szCs w:val="32"/>
                <w:lang w:val="en-US" w:eastAsia="zh-CN"/>
              </w:rPr>
              <w:t>（申报）</w:t>
            </w:r>
          </w:p>
        </w:tc>
      </w:tr>
      <w:tr w14:paraId="05987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10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41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7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9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4A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评价得分</w:t>
            </w: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4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是否满足直通条件之一（如是，标注1、2、3、4序号）</w:t>
            </w:r>
          </w:p>
        </w:tc>
      </w:tr>
      <w:tr w14:paraId="48AC7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248F9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CF747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B28C6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13CAE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E3AF1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448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423D6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F9406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C451D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0BCF3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0253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745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20156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8B14E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83170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81AD1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4B282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C2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95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1073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32"/>
                <w:szCs w:val="32"/>
                <w:lang w:val="en-US" w:eastAsia="zh-CN"/>
              </w:rPr>
              <w:t>创新型中小企业</w:t>
            </w:r>
            <w:r>
              <w:rPr>
                <w:rFonts w:hint="eastAsia" w:ascii="Times New Roman" w:hAnsi="Times New Roman" w:eastAsia="方正小标宋简体" w:cs="Times New Roman"/>
                <w:kern w:val="0"/>
                <w:sz w:val="32"/>
                <w:szCs w:val="32"/>
                <w:lang w:val="en-US" w:eastAsia="zh-CN"/>
              </w:rPr>
              <w:t>复核</w:t>
            </w:r>
          </w:p>
        </w:tc>
      </w:tr>
      <w:tr w14:paraId="3D59E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C7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1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4C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8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评价得分</w:t>
            </w: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C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是否满足直通条件之一（如是，标注1、2、3、4序号）</w:t>
            </w:r>
          </w:p>
        </w:tc>
      </w:tr>
      <w:tr w14:paraId="2DC00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9840B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DF6C4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B8743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D301D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FE981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5B4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19AA4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68787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E28E6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593A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72D92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BAE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2B8C4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2A7A1">
            <w:pPr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AA52E">
            <w:pPr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F3D09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20283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8458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outlineLvl w:val="9"/>
        <w:rPr>
          <w:rFonts w:hint="default" w:ascii="Times New Roman" w:hAnsi="Times New Roman" w:cs="Times New Roman"/>
          <w:highlight w:val="none"/>
          <w:lang w:val="en-US" w:eastAsia="zh-CN"/>
        </w:rPr>
        <w:sectPr>
          <w:footerReference r:id="rId3" w:type="default"/>
          <w:pgSz w:w="11906" w:h="16838"/>
          <w:pgMar w:top="1440" w:right="1519" w:bottom="1440" w:left="1519" w:header="851" w:footer="992" w:gutter="0"/>
          <w:pgNumType w:fmt="numberInDash"/>
          <w:cols w:space="720" w:num="1"/>
          <w:docGrid w:type="lines" w:linePitch="312" w:charSpace="0"/>
        </w:sectPr>
      </w:pPr>
    </w:p>
    <w:p w14:paraId="34065F56">
      <w:pPr>
        <w:pStyle w:val="5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textAlignment w:val="auto"/>
        <w:outlineLvl w:val="9"/>
        <w:rPr>
          <w:rFonts w:hint="default" w:ascii="Times New Roman" w:hAnsi="Times New Roman" w:eastAsia="方正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" w:cs="Times New Roman"/>
          <w:sz w:val="32"/>
          <w:szCs w:val="32"/>
          <w:highlight w:val="none"/>
          <w:lang w:val="en-US" w:eastAsia="zh-CN"/>
        </w:rPr>
        <w:t>附件2</w:t>
      </w:r>
    </w:p>
    <w:p w14:paraId="7B0B2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6AD50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创新型中小企业评价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bidi="ar"/>
        </w:rPr>
        <w:t>佐证材料</w:t>
      </w:r>
    </w:p>
    <w:p w14:paraId="5AC6D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bidi="ar"/>
        </w:rPr>
      </w:pPr>
    </w:p>
    <w:p w14:paraId="4D2806B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一、基础材料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（所有申报企业提供）</w:t>
      </w:r>
    </w:p>
    <w:p w14:paraId="246DC7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中小企业规模类型自测凭证（通过工信部“中小企业规模类型自测”小程序https://baosong.miit.gov.cn/ScaleTest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，完成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自测，保存测试结果，导出PDF凭证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，加盖企业公章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，凭证应包括：企业名称、所属行业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信息）</w:t>
      </w:r>
    </w:p>
    <w:p w14:paraId="05A85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2.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公共信用信息报告（核查版）</w:t>
      </w:r>
    </w:p>
    <w:p w14:paraId="5A7F2B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.企业真实性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声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明和合规经营承诺（须签名、盖章）</w:t>
      </w:r>
    </w:p>
    <w:p w14:paraId="2DBB8A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符合四项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直通条件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之一的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企业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佐证材料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符合直通条件的企业提供，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提供一项即可）</w:t>
      </w:r>
    </w:p>
    <w:p w14:paraId="247B0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.近三年内获得过的国家级、省级科技奖励证书</w:t>
      </w:r>
    </w:p>
    <w:p w14:paraId="3EBBB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.高新技术企业、国家级技术创新示范企业、知识产权优势企业和知识产权示范企业荣誉证书（均为有效期内）</w:t>
      </w:r>
    </w:p>
    <w:p w14:paraId="033CA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.省部级以上研发机构设立佐证材料</w:t>
      </w:r>
    </w:p>
    <w:p w14:paraId="09AE6F5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7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.近三年新增股权融资总额（合格机构投资者的实缴额）500万元以上佐证材料，包括银行到账凭证或融资报告（同时提供是合格机构投资者的证明材料）</w:t>
      </w:r>
    </w:p>
    <w:p w14:paraId="66EDDCC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非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直通条件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企业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佐证材料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  <w:t>（不满足直通条件的企业提供）</w:t>
      </w:r>
    </w:p>
    <w:p w14:paraId="1242D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8.企业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/>
        </w:rPr>
        <w:t>2024、2025年度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</w:rPr>
        <w:t>所得税纳税申报表（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  <w:lang w:eastAsia="zh-CN"/>
        </w:rPr>
        <w:t>须含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</w:rPr>
        <w:t>所得税年度纳税申报表、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纳税申报基础信息表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一般企业收入明细表、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</w:rPr>
        <w:t>期间费用明细表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</w:rPr>
        <w:t>）</w:t>
      </w:r>
    </w:p>
    <w:p w14:paraId="66AD28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I类、II类知识产权证书</w:t>
      </w:r>
    </w:p>
    <w:p w14:paraId="1123A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10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.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企业2024、2025年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度审计报告（须赋码，同时包含研发费用支出、主营业务收入等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，由会计师事务所在财政部注册会计师行业统一监管平台（http://acc.mof.gov.cn）报备赋码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）</w:t>
      </w:r>
    </w:p>
    <w:p w14:paraId="16030AA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可以证明符合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得分标准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的其他材料</w:t>
      </w:r>
    </w:p>
    <w:p w14:paraId="4A4827E2">
      <w:pPr>
        <w:pStyle w:val="3"/>
        <w:jc w:val="both"/>
        <w:rPr>
          <w:rFonts w:hint="default"/>
          <w:sz w:val="32"/>
          <w:szCs w:val="32"/>
          <w:lang w:val="en-US" w:eastAsia="zh-CN"/>
        </w:rPr>
      </w:pPr>
    </w:p>
    <w:p w14:paraId="0F9020EA">
      <w:pPr>
        <w:ind w:firstLine="640" w:firstLineChars="200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备注：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highlight w:val="none"/>
          <w:lang w:val="en-US" w:eastAsia="zh-CN" w:bidi="ar-SA"/>
        </w:rPr>
        <w:t>每项佐证材料加盖企业公章后扫描为1个pdf文件，按清单顺序汇总整理后，压缩为1个压缩包上传（大小不超过300M）</w:t>
      </w:r>
    </w:p>
    <w:p w14:paraId="23A4D518">
      <w:pPr>
        <w:rPr>
          <w:rFonts w:hint="default" w:ascii="Calibri" w:hAnsi="Calibri" w:eastAsia="宋体" w:cs="Times New Roman"/>
          <w:lang w:val="en-US" w:eastAsia="zh-CN"/>
        </w:rPr>
      </w:pPr>
    </w:p>
    <w:p w14:paraId="25454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</w:p>
    <w:p w14:paraId="7707B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sectPr>
          <w:footerReference r:id="rId4" w:type="default"/>
          <w:pgSz w:w="11906" w:h="16838"/>
          <w:pgMar w:top="2098" w:right="1474" w:bottom="1814" w:left="1587" w:header="851" w:footer="1304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7121B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9"/>
        <w:rPr>
          <w:rFonts w:hint="default" w:ascii="Times New Roman" w:hAnsi="Times New Roman" w:eastAsia="方正黑体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黑体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附件3</w:t>
      </w:r>
    </w:p>
    <w:p w14:paraId="3AB0F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</w:pPr>
    </w:p>
    <w:p w14:paraId="0BCB5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  <w:t>真实性声明和合规经营承诺</w:t>
      </w:r>
    </w:p>
    <w:p w14:paraId="20E3F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</w:p>
    <w:p w14:paraId="68611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一、本企业填报内容和所提交的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佐证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资料均准确、真实、合法、有效、无涉密信息。</w:t>
      </w:r>
    </w:p>
    <w:p w14:paraId="2AB7B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二、本企业未被列入经营异常名录或严重失信主体名单，提供的产品（服务）不属于国家禁止、限制或淘汰类，同时近三年未发生重大安全（含网络安全、数据安全）、质量、环境污染等事故以及偷漏税等违法违规行为。</w:t>
      </w:r>
    </w:p>
    <w:p w14:paraId="53267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三、本企业愿为以上事项承担有关法律责任。</w:t>
      </w:r>
    </w:p>
    <w:p w14:paraId="744E9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</w:p>
    <w:p w14:paraId="3B4C7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highlight w:val="none"/>
        </w:rPr>
        <w:t>法定代表人（签名）：           企业（公章）</w:t>
      </w:r>
    </w:p>
    <w:p w14:paraId="32638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</w:p>
    <w:p w14:paraId="0A2D7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righ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sectPr>
          <w:pgSz w:w="11906" w:h="16838"/>
          <w:pgMar w:top="2098" w:right="1474" w:bottom="1814" w:left="1587" w:header="851" w:footer="1417" w:gutter="0"/>
          <w:pgNumType w:fmt="numberInDash"/>
          <w:cols w:space="72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日期：    年    月    日</w:t>
      </w:r>
    </w:p>
    <w:p w14:paraId="33CAA403">
      <w:pPr>
        <w:pStyle w:val="2"/>
        <w:rPr>
          <w:rFonts w:hint="eastAsia" w:ascii="Times New Roman" w:hAnsi="Times New Roman" w:eastAsia="方正黑体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黑体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附件</w:t>
      </w:r>
      <w:r>
        <w:rPr>
          <w:rFonts w:hint="eastAsia" w:ascii="Times New Roman" w:hAnsi="Times New Roman" w:eastAsia="方正黑体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4</w:t>
      </w:r>
    </w:p>
    <w:p w14:paraId="6F73EAD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lang w:eastAsia="zh-CN"/>
        </w:rPr>
        <w:t>安徽省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</w:rPr>
        <w:t>创新型中小企业评价标准</w:t>
      </w:r>
    </w:p>
    <w:p w14:paraId="499040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08971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lang w:val="en"/>
        </w:rPr>
        <w:t>一、公告条件</w:t>
      </w:r>
    </w:p>
    <w:p w14:paraId="6002AA2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评价得分达到60分以上（其中创新能力指标得分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不低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于20分、成长性指标及专业化指标得分均不低于15分），或满足下列条件之一：</w:t>
      </w:r>
    </w:p>
    <w:p w14:paraId="5BD9FE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（一）近三年内获得过国家级、省级科技奖励。</w:t>
      </w:r>
    </w:p>
    <w:p w14:paraId="3AA2377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（二）获得高新技术企业、国家级技术创新示范企业、知识产权优势企业和知识产权示范企业等荣誉（均为有效期内）。</w:t>
      </w:r>
    </w:p>
    <w:p w14:paraId="412EFED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（三）拥有经认定的省部级以上研发机构。</w:t>
      </w:r>
    </w:p>
    <w:p w14:paraId="5CBB2A6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（四）近三年内新增股权融资总额（合格机构投资者的实缴额）500万元以上。</w:t>
      </w:r>
    </w:p>
    <w:p w14:paraId="1BB6F93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lang w:val="en"/>
        </w:rPr>
        <w:t>二、评价指标</w:t>
      </w:r>
    </w:p>
    <w:p w14:paraId="6CC89F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包括创新能力、成长性、专业化三类六个指标，评价结果依分值计算，满分为100分。</w:t>
      </w:r>
    </w:p>
    <w:p w14:paraId="486BB7E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  <w:lang w:val="en"/>
        </w:rPr>
        <w:t>（一）创新能力指标（满分40分）</w:t>
      </w:r>
    </w:p>
    <w:p w14:paraId="541CFAF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1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与企业主导产品相关的有效知识产权数量（满分20分）</w:t>
      </w:r>
    </w:p>
    <w:p w14:paraId="12EB6F4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A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Ⅰ类高价值知识产权1项以上（20分）</w:t>
      </w:r>
    </w:p>
    <w:p w14:paraId="7F52BB5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B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自主研发的Ⅰ类知识产权1项以上（15分）</w:t>
      </w:r>
    </w:p>
    <w:p w14:paraId="08B61F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C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Ⅰ类知识产权1项以上（10分）</w:t>
      </w:r>
    </w:p>
    <w:p w14:paraId="67636DB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D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Ⅱ类知识产权1项以上（5分）</w:t>
      </w:r>
    </w:p>
    <w:p w14:paraId="05A06FE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E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无（0分）</w:t>
      </w:r>
    </w:p>
    <w:p w14:paraId="6BA20DD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2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上年度研发费用总额占营业收入总额比重（满分20分）</w:t>
      </w:r>
    </w:p>
    <w:p w14:paraId="150F46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A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5%以上（20分）</w:t>
      </w:r>
    </w:p>
    <w:p w14:paraId="5923DF8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B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3%-5%（15分）</w:t>
      </w:r>
    </w:p>
    <w:p w14:paraId="7EE9E9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C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2%-3%（10分）</w:t>
      </w:r>
    </w:p>
    <w:p w14:paraId="791308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D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1%-2%（5分）</w:t>
      </w:r>
    </w:p>
    <w:p w14:paraId="71ADC2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E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1%以下（0分）</w:t>
      </w:r>
    </w:p>
    <w:p w14:paraId="5654979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  <w:lang w:val="en"/>
        </w:rPr>
        <w:t>（二）成长性指标（满分30分）</w:t>
      </w:r>
    </w:p>
    <w:p w14:paraId="29D7ED2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3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上年度主营业务收入增长率（满分20分）</w:t>
      </w:r>
    </w:p>
    <w:p w14:paraId="583D1D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A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15%以上（20分）</w:t>
      </w:r>
    </w:p>
    <w:p w14:paraId="0C7DDE9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B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10%-15%（15分）</w:t>
      </w:r>
    </w:p>
    <w:p w14:paraId="0044E00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C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5%-10%（10分）</w:t>
      </w:r>
    </w:p>
    <w:p w14:paraId="7D27539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D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0%-5%（5分）</w:t>
      </w:r>
    </w:p>
    <w:p w14:paraId="311094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E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0%以下（0分）</w:t>
      </w:r>
    </w:p>
    <w:p w14:paraId="62C2562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4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上年度资产负债率（满分10分）</w:t>
      </w:r>
    </w:p>
    <w:p w14:paraId="4B9AD22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A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55%以下（10分）</w:t>
      </w:r>
    </w:p>
    <w:p w14:paraId="57A863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B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55%-75%（5分）</w:t>
      </w:r>
    </w:p>
    <w:p w14:paraId="7AEEF33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D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75%以上（0分）</w:t>
      </w:r>
    </w:p>
    <w:p w14:paraId="66ADFD6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楷体_GB2312" w:cs="Times New Roman"/>
          <w:b/>
          <w:bCs w:val="0"/>
          <w:color w:val="000000"/>
          <w:sz w:val="32"/>
          <w:szCs w:val="32"/>
          <w:lang w:val="en"/>
        </w:rPr>
        <w:t>（三）专业化指标（满分30分）</w:t>
      </w:r>
    </w:p>
    <w:p w14:paraId="02D4D7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主导产品所属领域情况（满分10分）</w:t>
      </w:r>
    </w:p>
    <w:p w14:paraId="343B61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A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属于《战略性新兴产业分类》（10分）</w:t>
      </w:r>
    </w:p>
    <w:p w14:paraId="7B42F53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B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属于其他领域（5分）</w:t>
      </w:r>
    </w:p>
    <w:p w14:paraId="602B287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6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上年度主营业务收入总额占营业收入总额比重（满分20分）</w:t>
      </w:r>
    </w:p>
    <w:p w14:paraId="0A1C8F8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A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70%以上（20分）</w:t>
      </w:r>
    </w:p>
    <w:p w14:paraId="1F1F77D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B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60%-70%（15分）</w:t>
      </w:r>
    </w:p>
    <w:p w14:paraId="3B258E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C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55%-60%（10分）</w:t>
      </w:r>
    </w:p>
    <w:p w14:paraId="055689B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D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50%-55%（5分）</w:t>
      </w:r>
    </w:p>
    <w:p w14:paraId="5794569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E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"/>
        </w:rPr>
        <w:t>50%以下（0分）</w:t>
      </w:r>
    </w:p>
    <w:p w14:paraId="2B530572">
      <w:bookmarkStart w:id="0" w:name="_GoBack"/>
      <w:bookmarkEnd w:id="0"/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